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63115" w14:textId="7F2628D7" w:rsidR="0096390F" w:rsidRPr="0096390F" w:rsidRDefault="00F07646" w:rsidP="004C2727">
      <w:pPr>
        <w:widowControl/>
        <w:shd w:val="clear" w:color="auto" w:fill="FFFFFF"/>
        <w:spacing w:line="540" w:lineRule="atLeast"/>
        <w:ind w:firstLineChars="300" w:firstLine="810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世界中医药学会联合会采用</w:t>
      </w:r>
      <w:r w:rsidR="00335C14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团体</w:t>
      </w:r>
      <w:r w:rsidR="0096390F"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标准</w:t>
      </w:r>
      <w:r w:rsidR="00335C14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管理办法</w:t>
      </w:r>
      <w:r w:rsidR="005F2F5B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（暂行）</w:t>
      </w:r>
    </w:p>
    <w:p w14:paraId="675942EA" w14:textId="77777777" w:rsidR="0096390F" w:rsidRPr="0096390F" w:rsidRDefault="0096390F" w:rsidP="00994F38">
      <w:pPr>
        <w:widowControl/>
        <w:shd w:val="clear" w:color="auto" w:fill="FFFFFF"/>
        <w:spacing w:line="540" w:lineRule="atLeast"/>
        <w:ind w:firstLineChars="1100" w:firstLine="2970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第一章  总则</w:t>
      </w:r>
    </w:p>
    <w:p w14:paraId="6668E8E4" w14:textId="48AC1E52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第一条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 </w:t>
      </w:r>
      <w:r w:rsidR="000439B1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 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为规范</w:t>
      </w:r>
      <w:r w:rsidR="00E12E3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世界中医药学会联合会（以下统称“世界中联”）</w:t>
      </w:r>
      <w:r w:rsidR="00770FC0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="00770FC0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团体标准</w:t>
      </w:r>
      <w:r w:rsidR="00F65D58" w:rsidRPr="00E91C8E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的流程</w:t>
      </w:r>
      <w:r w:rsidRPr="00E91C8E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，促进社会团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体标准化成果</w:t>
      </w:r>
      <w:r w:rsidR="00E12E3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国际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应用，推动建立科学</w:t>
      </w:r>
      <w:r w:rsidR="000439B1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、</w:t>
      </w:r>
      <w:r w:rsidR="00FD3520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规范、</w:t>
      </w:r>
      <w:r w:rsidR="000439B1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高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效的</w:t>
      </w:r>
      <w:r w:rsidR="005F2F5B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机制，</w:t>
      </w:r>
      <w:r w:rsidR="00FD3520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推动</w:t>
      </w:r>
      <w:r w:rsidR="000A1BDE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中医药国际标准化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高质量发展，制定本</w:t>
      </w:r>
      <w:r w:rsidR="005F2F5B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办法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。</w:t>
      </w:r>
    </w:p>
    <w:p w14:paraId="091B0418" w14:textId="7277E646" w:rsidR="005F2F5B" w:rsidRDefault="0096390F" w:rsidP="004C2727">
      <w:pPr>
        <w:widowControl/>
        <w:shd w:val="clear" w:color="auto" w:fill="FFFFFF"/>
        <w:spacing w:line="540" w:lineRule="atLeast"/>
        <w:ind w:firstLine="540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第二条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  </w:t>
      </w:r>
      <w:r w:rsidR="005F2F5B" w:rsidRPr="00AD019E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本办法所称团体标准，是指由社会团体按照自行规定的标准</w:t>
      </w:r>
      <w:r w:rsidR="00F65D58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研制</w:t>
      </w:r>
      <w:r w:rsidR="005F2F5B" w:rsidRPr="00AD019E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程序制定并发布，供社会自愿采用的标准。</w:t>
      </w:r>
    </w:p>
    <w:p w14:paraId="61BB6385" w14:textId="0E140C07" w:rsidR="0096390F" w:rsidRPr="0096390F" w:rsidRDefault="005F2F5B" w:rsidP="004C2727">
      <w:pPr>
        <w:widowControl/>
        <w:shd w:val="clear" w:color="auto" w:fill="FFFFFF"/>
        <w:spacing w:line="540" w:lineRule="atLeast"/>
        <w:ind w:firstLine="540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第三条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 </w:t>
      </w:r>
      <w:r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 </w:t>
      </w:r>
      <w:r w:rsidR="0096390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本</w:t>
      </w:r>
      <w:r w:rsidR="0030651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办法</w:t>
      </w:r>
      <w:r w:rsidR="0096390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所称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="0096390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，是指将符合要求的团体标准，经过一定程序，制定</w:t>
      </w:r>
      <w:r w:rsidR="00F65D58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并发布</w:t>
      </w:r>
      <w:r w:rsidR="0096390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为</w:t>
      </w:r>
      <w:r w:rsidR="0030651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国际组织</w:t>
      </w:r>
      <w:r w:rsidR="0096390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标准的活动。</w:t>
      </w:r>
    </w:p>
    <w:p w14:paraId="45F726CA" w14:textId="321E3306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是标准制修订工作重要组成部分，是标准供给的重要形式。</w:t>
      </w:r>
    </w:p>
    <w:p w14:paraId="3597E0EF" w14:textId="4B9835C9" w:rsidR="0096390F" w:rsidRPr="0096390F" w:rsidRDefault="00F5759B" w:rsidP="004C2727">
      <w:pPr>
        <w:widowControl/>
        <w:shd w:val="clear" w:color="auto" w:fill="FFFFFF"/>
        <w:spacing w:line="540" w:lineRule="atLeast"/>
        <w:ind w:firstLine="540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</w:t>
      </w:r>
      <w:r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四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条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 </w:t>
      </w:r>
      <w:r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 </w:t>
      </w:r>
      <w:r w:rsidR="0096390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="0096390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应当遵循以下原则：</w:t>
      </w:r>
    </w:p>
    <w:p w14:paraId="1E9D0A97" w14:textId="24BA6A38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（一）</w:t>
      </w:r>
      <w:r w:rsidR="001C5989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坚持需求导向； </w:t>
      </w:r>
    </w:p>
    <w:p w14:paraId="09AC0D90" w14:textId="16F8E1E0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（二）</w:t>
      </w:r>
      <w:r w:rsidR="001C5989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团体标准技术先进、安全可靠、经济合理；</w:t>
      </w:r>
    </w:p>
    <w:p w14:paraId="33CA0D14" w14:textId="5D3E792B" w:rsidR="00F71339" w:rsidRDefault="00F71339" w:rsidP="004C2727">
      <w:pPr>
        <w:widowControl/>
        <w:shd w:val="clear" w:color="auto" w:fill="FFFFFF"/>
        <w:spacing w:line="540" w:lineRule="atLeast"/>
        <w:ind w:firstLine="540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F71339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（三）团体标准实施效果良好，且符合国际组织标准研制要求；</w:t>
      </w:r>
    </w:p>
    <w:p w14:paraId="28910476" w14:textId="1F4ADDF3" w:rsidR="0096390F" w:rsidRPr="0096390F" w:rsidRDefault="00F71339" w:rsidP="004C2727">
      <w:pPr>
        <w:widowControl/>
        <w:shd w:val="clear" w:color="auto" w:fill="FFFFFF"/>
        <w:spacing w:line="540" w:lineRule="atLeast"/>
        <w:ind w:firstLine="540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（</w:t>
      </w:r>
      <w:r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四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）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="001C5989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过程应当科学合理、公开公正、规范透明</w:t>
      </w:r>
      <w:r w:rsidR="001C5989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，</w:t>
      </w:r>
      <w:r w:rsidR="001C5989" w:rsidRPr="00F5759B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确保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="001C5989" w:rsidRPr="00F5759B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后的标准具有科学性、合理性和适用性</w:t>
      </w:r>
      <w:r w:rsidR="001C5989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。</w:t>
      </w:r>
    </w:p>
    <w:p w14:paraId="29B9697C" w14:textId="16317810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</w:t>
      </w:r>
      <w:r w:rsidR="00824055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                 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 xml:space="preserve">第二章  </w:t>
      </w:r>
      <w:r w:rsidR="00F07646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条件</w:t>
      </w:r>
    </w:p>
    <w:p w14:paraId="491072B1" w14:textId="4D8B6D25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第五条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  本规定的社会团体应符合以下条件： </w:t>
      </w:r>
    </w:p>
    <w:p w14:paraId="170CD66E" w14:textId="46EC70C0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（一）在</w:t>
      </w:r>
      <w:r w:rsidR="00824055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所在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国境内依法设立、具有法人资格的社会团体；</w:t>
      </w:r>
    </w:p>
    <w:p w14:paraId="628B038A" w14:textId="236C2FBF" w:rsidR="0096390F" w:rsidRDefault="0096390F" w:rsidP="004C2727">
      <w:pPr>
        <w:widowControl/>
        <w:shd w:val="clear" w:color="auto" w:fill="FFFFFF"/>
        <w:spacing w:line="540" w:lineRule="atLeast"/>
        <w:ind w:firstLine="540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（二）有较强的技术实力和行业影响力；</w:t>
      </w:r>
    </w:p>
    <w:p w14:paraId="0A13AD36" w14:textId="7469CE73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（三）具有扎实的标准化基础和较为丰富的标准化工作经验；</w:t>
      </w:r>
    </w:p>
    <w:p w14:paraId="0CA3CA9B" w14:textId="5966EADC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lastRenderedPageBreak/>
        <w:t xml:space="preserve">　　（四）有完善的标准化管理制度，为开展标准化工作提供必要的专职人员、经费和办公条件。</w:t>
      </w:r>
    </w:p>
    <w:p w14:paraId="02A064FE" w14:textId="0D8F4D0C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第六条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  本规定的团体标准应符合以下条件：</w:t>
      </w:r>
    </w:p>
    <w:p w14:paraId="5E4F1F17" w14:textId="3815B80B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（一）</w:t>
      </w:r>
      <w:r w:rsidR="00D43218" w:rsidRPr="00882DD4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团体标准应当符合</w:t>
      </w:r>
      <w:r w:rsidR="00D43218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所在</w:t>
      </w:r>
      <w:r w:rsidR="00D43218" w:rsidRPr="00882DD4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国家有关法律法规和政策的要求，不得与强制性标准相抵触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；</w:t>
      </w:r>
    </w:p>
    <w:p w14:paraId="10AF3B67" w14:textId="0F32BC0D" w:rsidR="00D43218" w:rsidRDefault="0096390F" w:rsidP="004C2727">
      <w:pPr>
        <w:widowControl/>
        <w:shd w:val="clear" w:color="auto" w:fill="FFFFFF"/>
        <w:spacing w:line="540" w:lineRule="atLeast"/>
        <w:ind w:firstLine="540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（二）</w:t>
      </w:r>
      <w:r w:rsidR="00D43218" w:rsidRPr="00882DD4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团体标准应当具有科学性、先进性、合理性和适用性，能够反映行业发展的需求和技术进步的趋势</w:t>
      </w:r>
      <w:r w:rsidR="00D43218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；</w:t>
      </w:r>
    </w:p>
    <w:p w14:paraId="437E6245" w14:textId="04DEBDBF" w:rsidR="00D43218" w:rsidRDefault="00D43218" w:rsidP="004C2727">
      <w:pPr>
        <w:widowControl/>
        <w:shd w:val="clear" w:color="auto" w:fill="FFFFFF"/>
        <w:spacing w:line="540" w:lineRule="atLeast"/>
        <w:ind w:firstLine="540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（三）</w:t>
      </w:r>
      <w:r w:rsidRPr="00882DD4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团体标准应当经过充分的试验验证和广泛的征求意见，具有较高的质量和可靠性</w:t>
      </w:r>
      <w:r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；</w:t>
      </w:r>
    </w:p>
    <w:p w14:paraId="5FEB1FEF" w14:textId="4FC629E0" w:rsidR="00D43218" w:rsidRDefault="00D43218" w:rsidP="004C2727">
      <w:pPr>
        <w:widowControl/>
        <w:shd w:val="clear" w:color="auto" w:fill="FFFFFF"/>
        <w:spacing w:line="540" w:lineRule="atLeast"/>
        <w:ind w:firstLine="540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（四）</w:t>
      </w:r>
      <w:r w:rsidRPr="00882DD4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团体标准的制定程序应当符合相关规定，标准文本应当规范、清晰、准确</w:t>
      </w:r>
      <w:r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；</w:t>
      </w:r>
    </w:p>
    <w:p w14:paraId="75AB92E9" w14:textId="296C5F02" w:rsidR="0096390F" w:rsidRDefault="0096390F" w:rsidP="004C2727">
      <w:pPr>
        <w:widowControl/>
        <w:shd w:val="clear" w:color="auto" w:fill="FFFFFF"/>
        <w:spacing w:line="540" w:lineRule="atLeast"/>
        <w:ind w:firstLine="540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（</w:t>
      </w:r>
      <w:r w:rsidR="00E80C73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五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）标准实施</w:t>
      </w:r>
      <w:r w:rsidR="00D43218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至少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满</w:t>
      </w:r>
      <w:r w:rsidR="00D43218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1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年，且实施效果良好。</w:t>
      </w:r>
    </w:p>
    <w:p w14:paraId="522FDE84" w14:textId="02D7CDEA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 xml:space="preserve">第三章  </w:t>
      </w:r>
      <w:r w:rsidR="00F07646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流程</w:t>
      </w:r>
    </w:p>
    <w:p w14:paraId="1178611F" w14:textId="6AC34681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第七条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  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="00D43218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流程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包括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项目的提出、评估、公示、立项、</w:t>
      </w:r>
      <w:r w:rsidR="00E80C73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研</w:t>
      </w:r>
      <w:r w:rsidRPr="007D6DAA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制</w:t>
      </w:r>
      <w:r w:rsidR="009015E4" w:rsidRPr="007D6DAA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与发布</w:t>
      </w:r>
      <w:r w:rsidRPr="007D6DAA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。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工作应当广泛征求各方意见。</w:t>
      </w:r>
    </w:p>
    <w:p w14:paraId="52329CB4" w14:textId="76924134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第八条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  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项目由发布团体标准的社会团体，向</w:t>
      </w:r>
      <w:r w:rsidR="00A07076" w:rsidRPr="00E80C73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世界中联</w:t>
      </w:r>
      <w:r w:rsidR="00E80C73" w:rsidRPr="00E80C73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国际</w:t>
      </w:r>
      <w:r w:rsidR="00A07076" w:rsidRPr="00E80C73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</w:t>
      </w:r>
      <w:r w:rsidR="00E80C73" w:rsidRPr="00E80C73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提出。必要时，</w:t>
      </w:r>
      <w:r w:rsidR="004920A4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世界中联</w:t>
      </w:r>
      <w:r w:rsidR="006856A8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国际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</w:t>
      </w:r>
      <w:r w:rsidR="006856A8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可与发布团体标准的社会团体协商后提出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建议。</w:t>
      </w:r>
    </w:p>
    <w:p w14:paraId="30B01F1A" w14:textId="7B4896C0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项目应提交的申请材料包括：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建议书、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</w:t>
      </w:r>
      <w:r w:rsidR="00E80C73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版权授权函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、团体标准及其编制说明的纸质文本和电子版文本、实施情况证明等技术资料。</w:t>
      </w:r>
    </w:p>
    <w:p w14:paraId="6FA5F34C" w14:textId="087A4ACA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lastRenderedPageBreak/>
        <w:t xml:space="preserve">　　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第九条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  </w:t>
      </w:r>
      <w:r w:rsidR="00A16975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世界中联国际标准部</w:t>
      </w:r>
      <w:r w:rsidR="00194EB1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可委托相关专业委员会，或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组织相关专业领域专家对标准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项目进行评估。评估内容主要包括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条件的符合性，</w:t>
      </w:r>
      <w:r w:rsidR="00194EB1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以及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的必要性、可行性</w:t>
      </w:r>
      <w:r w:rsidR="00622E53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等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。</w:t>
      </w:r>
    </w:p>
    <w:p w14:paraId="6E962E67" w14:textId="0065856D" w:rsidR="009015E4" w:rsidRDefault="0096390F" w:rsidP="004C2727">
      <w:pPr>
        <w:widowControl/>
        <w:shd w:val="clear" w:color="auto" w:fill="FFFFFF"/>
        <w:spacing w:line="540" w:lineRule="atLeast"/>
        <w:ind w:firstLine="540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对于评估通过的</w:t>
      </w:r>
      <w:r w:rsidR="00622E53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项目，在</w:t>
      </w:r>
      <w:r w:rsidR="00A16975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世界中</w:t>
      </w:r>
      <w:proofErr w:type="gramStart"/>
      <w:r w:rsidR="00A16975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联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网站</w:t>
      </w:r>
      <w:proofErr w:type="gramEnd"/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进行公示，公示期不少于5个工作日；评估未通过的，由</w:t>
      </w:r>
      <w:r w:rsidR="00A16975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世界中联国际标准部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将评估结果告知提出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申请的社会团体。</w:t>
      </w:r>
    </w:p>
    <w:p w14:paraId="4C73960E" w14:textId="42B8927D" w:rsidR="0096390F" w:rsidRPr="0096390F" w:rsidRDefault="0096390F" w:rsidP="004C2727">
      <w:pPr>
        <w:widowControl/>
        <w:shd w:val="clear" w:color="auto" w:fill="FFFFFF"/>
        <w:spacing w:line="540" w:lineRule="atLeast"/>
        <w:ind w:firstLine="540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公示无异议的</w:t>
      </w:r>
      <w:r w:rsidR="00622E53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项目，</w:t>
      </w:r>
      <w:r w:rsidR="00912EE7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进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入</w:t>
      </w:r>
      <w:r w:rsidR="00912EE7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国际组织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</w:t>
      </w:r>
      <w:r w:rsidR="00912EE7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研制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计划；公示有异议的，</w:t>
      </w:r>
      <w:r w:rsidR="00912EE7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国际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标准部对意见进行协调后，确定是否纳入相关标准计划，不纳入相关标准计划的</w:t>
      </w:r>
      <w:r w:rsidR="00622E53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，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将结果告知提出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申请的社会团体。</w:t>
      </w:r>
    </w:p>
    <w:p w14:paraId="0DA0A93B" w14:textId="3DD89EA6" w:rsidR="00711D15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第十条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  对于确定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为</w:t>
      </w:r>
      <w:r w:rsidR="00711D15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国际组织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标准的项目，</w:t>
      </w:r>
      <w:r w:rsidR="00150077" w:rsidRPr="00150077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按</w:t>
      </w:r>
      <w:r w:rsidR="00150077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照</w:t>
      </w:r>
      <w:r w:rsidR="00150077" w:rsidRPr="00711D15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SCM 1.1-2021</w:t>
      </w:r>
      <w:r w:rsidR="00150077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《</w:t>
      </w:r>
      <w:r w:rsidR="00150077" w:rsidRPr="00711D15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标准化工作导则 第1部分：标准制修订与发布</w:t>
      </w:r>
      <w:r w:rsidR="00150077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》</w:t>
      </w:r>
      <w:r w:rsidR="00150077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中“快速程序”</w:t>
      </w:r>
      <w:r w:rsidR="007013E5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进行研制。</w:t>
      </w:r>
    </w:p>
    <w:p w14:paraId="70C66636" w14:textId="3A4B2CF5" w:rsidR="0096390F" w:rsidRPr="0096390F" w:rsidRDefault="00B25F54" w:rsidP="004C2727">
      <w:pPr>
        <w:widowControl/>
        <w:shd w:val="clear" w:color="auto" w:fill="FFFFFF"/>
        <w:spacing w:line="540" w:lineRule="atLeast"/>
        <w:ind w:firstLineChars="200" w:firstLine="540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第十</w:t>
      </w:r>
      <w:r w:rsidR="00150077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一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条</w:t>
      </w:r>
      <w:r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="0096390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标准的编号按照</w:t>
      </w:r>
      <w:r w:rsidR="007013E5" w:rsidRPr="00711D15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SCM 1.1-2021</w:t>
      </w:r>
      <w:r w:rsidR="007013E5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中</w:t>
      </w:r>
      <w:r w:rsidR="00622E53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“标准编号”</w:t>
      </w:r>
      <w:r w:rsidR="002B504C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规定的</w:t>
      </w:r>
      <w:r w:rsidR="0096390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编号序列统一管理。</w:t>
      </w:r>
    </w:p>
    <w:p w14:paraId="064C1D48" w14:textId="6E284C13" w:rsidR="0096390F" w:rsidRDefault="00F07646" w:rsidP="004C2727">
      <w:pPr>
        <w:widowControl/>
        <w:shd w:val="clear" w:color="auto" w:fill="FFFFFF"/>
        <w:spacing w:line="540" w:lineRule="atLeast"/>
        <w:ind w:firstLine="540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="0096390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标准的</w:t>
      </w:r>
      <w:r w:rsidR="007013E5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前</w:t>
      </w:r>
      <w:r w:rsidR="0096390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言和编制说明中应给出</w:t>
      </w:r>
      <w:r w:rsidR="00E91C8E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被</w:t>
      </w:r>
      <w:r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="0096390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团体标准的编号、名称等信息，</w:t>
      </w:r>
      <w:r w:rsidR="007013E5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在引言中</w:t>
      </w:r>
      <w:r w:rsidR="0096390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可给出</w:t>
      </w:r>
      <w:r w:rsidR="00FD44F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被</w:t>
      </w:r>
      <w:r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="009015E4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团体标准的</w:t>
      </w:r>
      <w:r w:rsidR="0096390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背景、目的、涉及技术内容等特殊信息。</w:t>
      </w:r>
    </w:p>
    <w:p w14:paraId="310C09C8" w14:textId="1AFB7422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 xml:space="preserve">第四章  </w:t>
      </w:r>
      <w:r w:rsidR="00F07646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职责</w:t>
      </w:r>
    </w:p>
    <w:p w14:paraId="35E00118" w14:textId="3BA30050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第十</w:t>
      </w:r>
      <w:r w:rsidR="00A86F5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二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条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  </w:t>
      </w:r>
      <w:r w:rsidR="00A16975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世界中联秘书处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对标准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工作实行统一管理，具体工作由</w:t>
      </w:r>
      <w:r w:rsidR="00A16975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国际标准部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负责，主要职责：</w:t>
      </w:r>
    </w:p>
    <w:p w14:paraId="6D96BB79" w14:textId="774FCD3C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（一）组织制定标准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管理制度；</w:t>
      </w:r>
    </w:p>
    <w:p w14:paraId="4AA31548" w14:textId="4B815E46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（二）负责标准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项目的受理、组织评估、结果公示或告知；</w:t>
      </w:r>
    </w:p>
    <w:p w14:paraId="1F45CACC" w14:textId="3D0A776D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lastRenderedPageBreak/>
        <w:t xml:space="preserve">　　（三）负责团体标准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为</w:t>
      </w:r>
      <w:r w:rsidR="00D35650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国际组织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标准的立项、组织</w:t>
      </w:r>
      <w:r w:rsidR="00A86F5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研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制</w:t>
      </w:r>
      <w:r w:rsidR="002B504C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、报批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和发布。</w:t>
      </w:r>
    </w:p>
    <w:p w14:paraId="5381A87C" w14:textId="4C7F95F3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第十</w:t>
      </w:r>
      <w:r w:rsidR="00A86F5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三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条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  </w:t>
      </w:r>
      <w:r w:rsidR="00011DAE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世界中</w:t>
      </w:r>
      <w:proofErr w:type="gramStart"/>
      <w:r w:rsidR="00011DAE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联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相关</w:t>
      </w:r>
      <w:proofErr w:type="gramEnd"/>
      <w:r w:rsidR="00011DAE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专业委员会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的主要职责：</w:t>
      </w:r>
    </w:p>
    <w:p w14:paraId="3029759D" w14:textId="55945BD3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（一）参与本专业领域标准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项目的评估；</w:t>
      </w:r>
    </w:p>
    <w:p w14:paraId="4191D656" w14:textId="37939594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（二）参与本专业领域标准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项目制修订过程中的技术管理工作。</w:t>
      </w:r>
    </w:p>
    <w:p w14:paraId="098D47C0" w14:textId="33DE2622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</w:t>
      </w:r>
      <w:r w:rsidR="00222134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                 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 xml:space="preserve">第五章  </w:t>
      </w:r>
      <w:r w:rsidR="00F07646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管理</w:t>
      </w:r>
    </w:p>
    <w:p w14:paraId="0C0651CB" w14:textId="6C69B83F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第十</w:t>
      </w:r>
      <w:r w:rsidR="00A86F5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四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条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  团体标准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为</w:t>
      </w:r>
      <w:r w:rsidR="00222134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国际组织标准，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应遵守</w:t>
      </w:r>
      <w:r w:rsidR="00222134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国际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标准版权政策。</w:t>
      </w:r>
      <w:r w:rsidR="00A86F5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标准发布后，版权归世界中医药学会联合</w:t>
      </w:r>
      <w:r w:rsidR="00937478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会</w:t>
      </w:r>
      <w:r w:rsidR="00A86F5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所有。</w:t>
      </w:r>
    </w:p>
    <w:p w14:paraId="697C7F55" w14:textId="2AF97F4E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</w:t>
      </w:r>
      <w:r w:rsidR="00222134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团体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标准中涉及的专利是实施该标准必不可少的专利，其管理按照标准涉及专利的有关规定执行。</w:t>
      </w:r>
    </w:p>
    <w:p w14:paraId="4E77C7B6" w14:textId="3827C7F0" w:rsidR="00B25F54" w:rsidRDefault="00B25F54" w:rsidP="004C2727">
      <w:pPr>
        <w:widowControl/>
        <w:shd w:val="clear" w:color="auto" w:fill="FFFFFF"/>
        <w:spacing w:line="540" w:lineRule="atLeast"/>
        <w:ind w:firstLine="540"/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第十</w:t>
      </w:r>
      <w:r w:rsidR="00A86F5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五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条</w:t>
      </w:r>
      <w:r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r w:rsidR="00743823" w:rsidRPr="00B7769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团体标准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="00743823" w:rsidRPr="00B7769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为国际组织标准</w:t>
      </w:r>
      <w:r w:rsidR="00A86F5F" w:rsidRPr="00B7769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涉及</w:t>
      </w:r>
      <w:r w:rsidR="00306DFD" w:rsidRPr="00B7769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评估、</w:t>
      </w:r>
      <w:r w:rsidR="00743823" w:rsidRPr="00B7769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立项、审查</w:t>
      </w:r>
      <w:r w:rsidR="00306DFD" w:rsidRPr="00B7769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、</w:t>
      </w:r>
      <w:r w:rsidR="00743823" w:rsidRPr="00B7769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翻译</w:t>
      </w:r>
      <w:r w:rsidR="00306DFD" w:rsidRPr="00B7769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、出版</w:t>
      </w:r>
      <w:r w:rsidR="00BF041C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等</w:t>
      </w:r>
      <w:r w:rsidR="00306DFD" w:rsidRPr="00B7769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费用</w:t>
      </w:r>
      <w:r w:rsidR="00A86F5F" w:rsidRPr="00B7769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可向社会募集资金，各参与研制单位可自愿缴费。</w:t>
      </w:r>
    </w:p>
    <w:p w14:paraId="074D212E" w14:textId="7C5D2A48" w:rsidR="00B25F54" w:rsidRDefault="00B25F54" w:rsidP="004C2727">
      <w:pPr>
        <w:widowControl/>
        <w:shd w:val="clear" w:color="auto" w:fill="FFFFFF"/>
        <w:spacing w:line="540" w:lineRule="atLeast"/>
        <w:ind w:firstLine="540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第十</w:t>
      </w:r>
      <w:r w:rsidR="00A86F5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六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条</w:t>
      </w:r>
      <w:r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项目从立项之日到完成报批稿</w:t>
      </w:r>
      <w:r w:rsidR="00A86F5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原则上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不超过</w:t>
      </w:r>
      <w:r w:rsidR="00A86F5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12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个月。逾期未完成或技术审查不通过的标准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项目，经</w:t>
      </w:r>
      <w:r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国际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</w:t>
      </w:r>
      <w:r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确认后应当予以终止，并告知提出</w:t>
      </w:r>
      <w:r w:rsidR="007D6DAA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标准</w:t>
      </w:r>
      <w:r w:rsidR="00F07646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采用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项目的</w:t>
      </w:r>
      <w:r w:rsidR="00A86F5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社会团体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。</w:t>
      </w:r>
    </w:p>
    <w:p w14:paraId="3ADD9DD7" w14:textId="2A57DF68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</w:t>
      </w:r>
      <w:r w:rsidR="00A90E57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                 </w:t>
      </w:r>
      <w:r w:rsidR="00306DFD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  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第六章  附则</w:t>
      </w:r>
    </w:p>
    <w:p w14:paraId="1FACADDE" w14:textId="67C3D25C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第十</w:t>
      </w:r>
      <w:r w:rsidR="00A86F5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七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条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 </w:t>
      </w:r>
      <w:r w:rsidR="00A86F5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本</w:t>
      </w:r>
      <w:r w:rsidR="00A86F5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办法</w:t>
      </w:r>
      <w:r w:rsidR="00A86F5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由</w:t>
      </w:r>
      <w:r w:rsidR="00A86F5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世界中医药学会联合会</w:t>
      </w:r>
      <w:r w:rsidR="00A86F5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负责解释。</w:t>
      </w:r>
    </w:p>
    <w:p w14:paraId="3E96EF3F" w14:textId="1A36E480" w:rsidR="0096390F" w:rsidRPr="0096390F" w:rsidRDefault="0096390F" w:rsidP="004C2727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</w:pP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 xml:space="preserve">　　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第十</w:t>
      </w:r>
      <w:r w:rsidR="00A86F5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八</w:t>
      </w:r>
      <w:r w:rsidRPr="0096390F">
        <w:rPr>
          <w:rFonts w:ascii="微软雅黑" w:eastAsia="微软雅黑" w:hAnsi="微软雅黑" w:cs="宋体" w:hint="eastAsia"/>
          <w:b/>
          <w:bCs/>
          <w:color w:val="444444"/>
          <w:kern w:val="0"/>
          <w:sz w:val="27"/>
          <w:szCs w:val="27"/>
          <w14:ligatures w14:val="none"/>
        </w:rPr>
        <w:t>条</w:t>
      </w:r>
      <w:r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 </w:t>
      </w:r>
      <w:r w:rsidR="00A86F5F" w:rsidRPr="0096390F">
        <w:rPr>
          <w:rFonts w:ascii="微软雅黑" w:eastAsia="微软雅黑" w:hAnsi="微软雅黑" w:cs="宋体" w:hint="eastAsia"/>
          <w:color w:val="444444"/>
          <w:kern w:val="0"/>
          <w:sz w:val="27"/>
          <w:szCs w:val="27"/>
          <w14:ligatures w14:val="none"/>
        </w:rPr>
        <w:t>本规定自发布之日起实施。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6390F" w:rsidRPr="0096390F" w14:paraId="2415A70C" w14:textId="77777777" w:rsidTr="0096390F">
        <w:tc>
          <w:tcPr>
            <w:tcW w:w="0" w:type="auto"/>
            <w:shd w:val="clear" w:color="auto" w:fill="FFFFFF"/>
            <w:vAlign w:val="center"/>
            <w:hideMark/>
          </w:tcPr>
          <w:p w14:paraId="3F65164F" w14:textId="77777777" w:rsidR="0096390F" w:rsidRPr="0096390F" w:rsidRDefault="0096390F" w:rsidP="004C2727">
            <w:pPr>
              <w:widowControl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9019789" w14:textId="77777777" w:rsidR="00FF1AD6" w:rsidRPr="00A86F5F" w:rsidRDefault="00FF1AD6" w:rsidP="00994F38">
      <w:pPr>
        <w:rPr>
          <w:rFonts w:hint="eastAsia"/>
        </w:rPr>
      </w:pPr>
    </w:p>
    <w:sectPr w:rsidR="00FF1AD6" w:rsidRPr="00A86F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7EF1D" w14:textId="77777777" w:rsidR="00574B6A" w:rsidRDefault="00574B6A" w:rsidP="0096390F">
      <w:pPr>
        <w:rPr>
          <w:rFonts w:hint="eastAsia"/>
        </w:rPr>
      </w:pPr>
      <w:r>
        <w:separator/>
      </w:r>
    </w:p>
  </w:endnote>
  <w:endnote w:type="continuationSeparator" w:id="0">
    <w:p w14:paraId="3570B9DA" w14:textId="77777777" w:rsidR="00574B6A" w:rsidRDefault="00574B6A" w:rsidP="009639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145395"/>
      <w:docPartObj>
        <w:docPartGallery w:val="Page Numbers (Bottom of Page)"/>
        <w:docPartUnique/>
      </w:docPartObj>
    </w:sdtPr>
    <w:sdtContent>
      <w:p w14:paraId="60E25A9B" w14:textId="3B08777A" w:rsidR="002B504C" w:rsidRDefault="002B504C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672895" w14:textId="77777777" w:rsidR="002B504C" w:rsidRDefault="002B504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F6CBA" w14:textId="77777777" w:rsidR="00574B6A" w:rsidRDefault="00574B6A" w:rsidP="0096390F">
      <w:pPr>
        <w:rPr>
          <w:rFonts w:hint="eastAsia"/>
        </w:rPr>
      </w:pPr>
      <w:r>
        <w:separator/>
      </w:r>
    </w:p>
  </w:footnote>
  <w:footnote w:type="continuationSeparator" w:id="0">
    <w:p w14:paraId="10048FE9" w14:textId="77777777" w:rsidR="00574B6A" w:rsidRDefault="00574B6A" w:rsidP="0096390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520C0"/>
    <w:multiLevelType w:val="multilevel"/>
    <w:tmpl w:val="2C2C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680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D6"/>
    <w:rsid w:val="00011DAE"/>
    <w:rsid w:val="00014F84"/>
    <w:rsid w:val="00041405"/>
    <w:rsid w:val="000439B1"/>
    <w:rsid w:val="00072FAA"/>
    <w:rsid w:val="000807C0"/>
    <w:rsid w:val="000A1BDE"/>
    <w:rsid w:val="000F1AD9"/>
    <w:rsid w:val="00150077"/>
    <w:rsid w:val="00194EB1"/>
    <w:rsid w:val="001C5989"/>
    <w:rsid w:val="001F6228"/>
    <w:rsid w:val="0021083E"/>
    <w:rsid w:val="00222134"/>
    <w:rsid w:val="002725C4"/>
    <w:rsid w:val="002824A2"/>
    <w:rsid w:val="002879E1"/>
    <w:rsid w:val="002B504C"/>
    <w:rsid w:val="002D3823"/>
    <w:rsid w:val="00306516"/>
    <w:rsid w:val="00306DFD"/>
    <w:rsid w:val="00335C14"/>
    <w:rsid w:val="003B3EC8"/>
    <w:rsid w:val="004920A4"/>
    <w:rsid w:val="004C2727"/>
    <w:rsid w:val="00574B6A"/>
    <w:rsid w:val="005C354B"/>
    <w:rsid w:val="005F2F5B"/>
    <w:rsid w:val="00622E53"/>
    <w:rsid w:val="006856A8"/>
    <w:rsid w:val="006B20D8"/>
    <w:rsid w:val="007013E5"/>
    <w:rsid w:val="00711D15"/>
    <w:rsid w:val="00743823"/>
    <w:rsid w:val="00770FC0"/>
    <w:rsid w:val="00796D1B"/>
    <w:rsid w:val="007B042B"/>
    <w:rsid w:val="007D6DAA"/>
    <w:rsid w:val="007D78C0"/>
    <w:rsid w:val="00824055"/>
    <w:rsid w:val="00882DD4"/>
    <w:rsid w:val="00885D56"/>
    <w:rsid w:val="00887324"/>
    <w:rsid w:val="008924D5"/>
    <w:rsid w:val="009015E4"/>
    <w:rsid w:val="00911B4B"/>
    <w:rsid w:val="00912EE7"/>
    <w:rsid w:val="00921FEB"/>
    <w:rsid w:val="00937478"/>
    <w:rsid w:val="009434D6"/>
    <w:rsid w:val="00944C5A"/>
    <w:rsid w:val="0096390F"/>
    <w:rsid w:val="009761C6"/>
    <w:rsid w:val="0099048A"/>
    <w:rsid w:val="00994F38"/>
    <w:rsid w:val="009D0593"/>
    <w:rsid w:val="009F5854"/>
    <w:rsid w:val="00A07076"/>
    <w:rsid w:val="00A16975"/>
    <w:rsid w:val="00A31B4A"/>
    <w:rsid w:val="00A71055"/>
    <w:rsid w:val="00A86F5F"/>
    <w:rsid w:val="00A90E57"/>
    <w:rsid w:val="00AD019E"/>
    <w:rsid w:val="00AF5AC7"/>
    <w:rsid w:val="00B25F54"/>
    <w:rsid w:val="00B4704B"/>
    <w:rsid w:val="00B61836"/>
    <w:rsid w:val="00B6459F"/>
    <w:rsid w:val="00B712F6"/>
    <w:rsid w:val="00B7769F"/>
    <w:rsid w:val="00B82CAA"/>
    <w:rsid w:val="00BF041C"/>
    <w:rsid w:val="00BF7B0A"/>
    <w:rsid w:val="00C0417C"/>
    <w:rsid w:val="00C2213D"/>
    <w:rsid w:val="00C25CBB"/>
    <w:rsid w:val="00C37EAD"/>
    <w:rsid w:val="00C666E4"/>
    <w:rsid w:val="00D35650"/>
    <w:rsid w:val="00D43218"/>
    <w:rsid w:val="00DE0667"/>
    <w:rsid w:val="00E12E36"/>
    <w:rsid w:val="00E50BE5"/>
    <w:rsid w:val="00E80C73"/>
    <w:rsid w:val="00E91C8E"/>
    <w:rsid w:val="00EA7FC6"/>
    <w:rsid w:val="00ED2DBB"/>
    <w:rsid w:val="00EE0763"/>
    <w:rsid w:val="00EE77AB"/>
    <w:rsid w:val="00F07646"/>
    <w:rsid w:val="00F1024E"/>
    <w:rsid w:val="00F21E64"/>
    <w:rsid w:val="00F56CB3"/>
    <w:rsid w:val="00F5759B"/>
    <w:rsid w:val="00F65D58"/>
    <w:rsid w:val="00F71339"/>
    <w:rsid w:val="00FB3BDF"/>
    <w:rsid w:val="00FD3520"/>
    <w:rsid w:val="00FD44FF"/>
    <w:rsid w:val="00FF1AD6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A9672"/>
  <w15:chartTrackingRefBased/>
  <w15:docId w15:val="{63462DBA-DBC5-486C-87F7-FE88247F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9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39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390F"/>
    <w:rPr>
      <w:sz w:val="18"/>
      <w:szCs w:val="18"/>
    </w:rPr>
  </w:style>
  <w:style w:type="paragraph" w:styleId="a7">
    <w:name w:val="Revision"/>
    <w:hidden/>
    <w:uiPriority w:val="99"/>
    <w:semiHidden/>
    <w:rsid w:val="00F6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丽丽 王</dc:creator>
  <cp:keywords/>
  <dc:description/>
  <cp:lastModifiedBy>CoCo Yang</cp:lastModifiedBy>
  <cp:revision>3</cp:revision>
  <cp:lastPrinted>2024-11-11T07:40:00Z</cp:lastPrinted>
  <dcterms:created xsi:type="dcterms:W3CDTF">2024-11-12T08:18:00Z</dcterms:created>
  <dcterms:modified xsi:type="dcterms:W3CDTF">2024-11-12T08:18:00Z</dcterms:modified>
</cp:coreProperties>
</file>